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rtl w:val="0"/>
        </w:rPr>
        <w:t xml:space="preserve">Media contact:</w:t>
      </w:r>
    </w:p>
    <w:p w:rsidR="00000000" w:rsidDel="00000000" w:rsidP="00000000" w:rsidRDefault="00000000" w:rsidRPr="00000000" w14:paraId="00000002">
      <w:pPr>
        <w:jc w:val="right"/>
        <w:rPr>
          <w:rFonts w:ascii="Calibri" w:cs="Calibri" w:eastAsia="Calibri" w:hAnsi="Calibri"/>
        </w:rPr>
      </w:pPr>
      <w:r w:rsidDel="00000000" w:rsidR="00000000" w:rsidRPr="00000000">
        <w:rPr>
          <w:rFonts w:ascii="Calibri" w:cs="Calibri" w:eastAsia="Calibri" w:hAnsi="Calibri"/>
          <w:rtl w:val="0"/>
        </w:rPr>
        <w:t xml:space="preserve">Megan Hackworth</w:t>
      </w:r>
    </w:p>
    <w:p w:rsidR="00000000" w:rsidDel="00000000" w:rsidP="00000000" w:rsidRDefault="00000000" w:rsidRPr="00000000" w14:paraId="00000003">
      <w:pPr>
        <w:jc w:val="right"/>
        <w:rPr>
          <w:rFonts w:ascii="Calibri" w:cs="Calibri" w:eastAsia="Calibri" w:hAnsi="Calibri"/>
        </w:rPr>
      </w:pPr>
      <w:r w:rsidDel="00000000" w:rsidR="00000000" w:rsidRPr="00000000">
        <w:rPr>
          <w:rFonts w:ascii="Calibri" w:cs="Calibri" w:eastAsia="Calibri" w:hAnsi="Calibri"/>
          <w:rtl w:val="0"/>
        </w:rPr>
        <w:t xml:space="preserve">The Wilbert Group</w:t>
      </w:r>
    </w:p>
    <w:p w:rsidR="00000000" w:rsidDel="00000000" w:rsidP="00000000" w:rsidRDefault="00000000" w:rsidRPr="00000000" w14:paraId="00000004">
      <w:pPr>
        <w:jc w:val="right"/>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mhackworth@thewilbertgroup.com</w:t>
        </w:r>
      </w:hyperlink>
      <w:r w:rsidDel="00000000" w:rsidR="00000000" w:rsidRPr="00000000">
        <w:rPr>
          <w:rtl w:val="0"/>
        </w:rPr>
      </w:r>
    </w:p>
    <w:p w:rsidR="00000000" w:rsidDel="00000000" w:rsidP="00000000" w:rsidRDefault="00000000" w:rsidRPr="00000000" w14:paraId="00000005">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Fonts w:ascii="Calibri" w:cs="Calibri" w:eastAsia="Calibri" w:hAnsi="Calibri"/>
          <w:b w:val="1"/>
          <w:rtl w:val="0"/>
        </w:rPr>
        <w:t xml:space="preserve">Blaze Capital Partners Closes Sale of Two Metro Atlanta Apartment Communities</w:t>
      </w:r>
    </w:p>
    <w:p w:rsidR="00000000" w:rsidDel="00000000" w:rsidP="00000000" w:rsidRDefault="00000000" w:rsidRPr="00000000" w14:paraId="00000007">
      <w:pPr>
        <w:jc w:val="center"/>
        <w:rPr>
          <w:rFonts w:ascii="Calibri" w:cs="Calibri" w:eastAsia="Calibri" w:hAnsi="Calibri"/>
          <w:i w:val="1"/>
        </w:rPr>
      </w:pPr>
      <w:r w:rsidDel="00000000" w:rsidR="00000000" w:rsidRPr="00000000">
        <w:rPr>
          <w:rFonts w:ascii="Calibri" w:cs="Calibri" w:eastAsia="Calibri" w:hAnsi="Calibri"/>
          <w:i w:val="1"/>
          <w:rtl w:val="0"/>
        </w:rPr>
        <w:t xml:space="preserve">Charleston-based company acquired and successfully repositioned the properties under its multifamily acquisition strategy</w:t>
      </w:r>
    </w:p>
    <w:p w:rsidR="00000000" w:rsidDel="00000000" w:rsidP="00000000" w:rsidRDefault="00000000" w:rsidRPr="00000000" w14:paraId="00000008">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ATLANTA (May 17, 2022) – Blaze Capital Partners (“Blaze”) today announces the sales of Stadium Walk, a 309-unit apartment community in the Cumberland-Galleria submarket, and Overlook at Huntcrest, a 299-unit luxury apartment community in Gwinnett County within greater Atlanta, Georgia. The two-pack sale marks Blaze’s successful repositioning of the properties to improve the overall resident experience and deliver exceptional results for both partners and investors.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Since acquiring Stadium Walk and Overlook at Huntcrest in September 2018, Blaze has thoughtfully executed on its strategy of repositioning the garden-style apartment communities into highly amenitized, desirable places to live for residents. Both communities are situated in markets exploding with job growth, investment activity, a plethora of retail, restaurant and entertainment amenities, and premier connectivity around the Greater Atlanta Metro.</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“Atlanta has continued to be a strategic investment hub for us with a focus on acquiring institutional quality communities in fantastic growth locations,” said Chris Riley, co-founder and managing partner at Blaze. “With global and regional employer headquarters, unique mixed-use environments like The Battery and Suwanee Town Center, and easy access to neighboring urban and suburban areas, both apartment communities are located in transforming submarkets. We’re pleased with the investments we’ve put into these properties and look forward to exploring additional opportunities across the greater Atlanta area.”</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Located in Cobb County and just minutes from Truist Park with connectivity to I-75 and I-285, Stadium Walk uniquely intersects urban access with suburban convenience. The apartment community sits directly north of The Battery Atlanta, the southeast’s revolutionary mixed-use development home to the Atlanta Braves and a plethora of restaurants, retail and entertainment. The county has experienced tremendous growth in terms of residents and job opportunities, with recent investments by Home Depot, Papa John’s and ThyssenKrupp. The community features Class A interior unit finishes and community amenities, such as spa-inspired bathrooms, designer lighting and fixtures, spacious walk-in closets, state-of-the-art fitness center, yoga and spin studio, resort-style pool and sunning deck and a fire pit with grilling capabilities.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Overlook at Huntcrest sits in Gwinnett County, which currently boasts Georgia's second largest county population with expectations to become the largest by 2040. Well positioned along the I-85 corridor, the community offers unparalleled access to retail and restaurants, some of the top public schools in the state, entertainment venues and major employers like Mitsubishi Electric, AGCO Corporation and Asbury Automotive. Blaze made best-in-class investments to modernize the floor plans, which range from 675 to 1,380 square feet across one-, two- and three-bedroom units, as well as upgrade community amenities. These investments included energy-efficient stainless steel appliances, open kitchens, private balconies and patios, cybercafe with a gourmet coffee bar, strength and cardio gym, dog park, concierge service and monthly events programming.</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“Both of these communities have direct access to all that Atlanta has to offer while still providing the flexibility and comfort of suburban living,” said Eddy O’Brien, co-founder and managing partner of Blaze. “The investments we’ve made, coupled with the growing abundance of neighborhood amenities, has allowed us to drastically improve the overall resident experience at Stadium Walk and Overlook at Huntcrest. We are thrilled with the results and look forward to continuing to identify and execute on attractive investment opportunities on behalf of our investors and partners.”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Blaze has continued to grow its rental housing portfolio significantly throughout the Sunbelt. Most recently, the firm acquired 630 Fairview, a townhome rental community in Greenville, South Carolina, and Spoke Savannah, an extended-stay hotel as part of its hotel-to-multifamily conversion strategy. The firm remains exceptionally active across the rental housing landscape with an acquisition and development pipeline under control of over $400 million in projects across its various strategies. In addition, the company is currently raising a dedicated build-for-rent acquisition vehicle to augment its development activity. Blaze’s 2022 goals project more than $1.2 billion in total transaction volume, as the firm continues to deepen its acquisition and development presence across its conventional multifamily, build-for-rent single-family and multifamily conversion strategies.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b w:val="1"/>
          <w:rtl w:val="0"/>
        </w:rPr>
        <w:t xml:space="preserve">About Blaze Capital Partners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Blaze Capital Partners is a rental housing investment and development firm driven by a simple but unusual mission: Creating homes for how people live and how they want to live. With a human-first approach fueled by demographic and psychographic research, Blaze owns and operates exceptional communities in high-growth markets throughout the Sunbelt. Headquartered in Charleston, South Carolina, Blaze offers a full suite of investment services, ranging from research and acquisitions to development and asset management. Since 2016, Blaze has acquired over 5,000 rental units across the Southeast, comprising more than $2 billion in transaction value and currently has a pipeline of acquisition and development opportunities, totaling over $400 million. To learn more about Blaze, visit </w:t>
      </w:r>
      <w:hyperlink r:id="rId8">
        <w:r w:rsidDel="00000000" w:rsidR="00000000" w:rsidRPr="00000000">
          <w:rPr>
            <w:rFonts w:ascii="Calibri" w:cs="Calibri" w:eastAsia="Calibri" w:hAnsi="Calibri"/>
            <w:color w:val="0000ff"/>
            <w:u w:val="single"/>
            <w:rtl w:val="0"/>
          </w:rPr>
          <w:t xml:space="preserve">www.blazecapitalpartners.com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425488" cy="547688"/>
          <wp:effectExtent b="0" l="0" r="0" t="0"/>
          <wp:docPr id="2" name="image1.png"/>
          <a:graphic>
            <a:graphicData uri="http://schemas.openxmlformats.org/drawingml/2006/picture">
              <pic:pic>
                <pic:nvPicPr>
                  <pic:cNvPr id="0" name="image1.png"/>
                  <pic:cNvPicPr preferRelativeResize="0"/>
                </pic:nvPicPr>
                <pic:blipFill>
                  <a:blip r:embed="rId1"/>
                  <a:srcRect b="0" l="841" r="3197" t="0"/>
                  <a:stretch>
                    <a:fillRect/>
                  </a:stretch>
                </pic:blipFill>
                <pic:spPr>
                  <a:xfrm>
                    <a:off x="0" y="0"/>
                    <a:ext cx="1425488" cy="547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535D9"/>
    <w:pPr>
      <w:spacing w:line="240" w:lineRule="auto"/>
    </w:pPr>
  </w:style>
  <w:style w:type="character" w:styleId="Hyperlink">
    <w:name w:val="Hyperlink"/>
    <w:basedOn w:val="DefaultParagraphFont"/>
    <w:uiPriority w:val="99"/>
    <w:unhideWhenUsed w:val="1"/>
    <w:rsid w:val="00DA3D37"/>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hackworth@thewilbertgroup.com" TargetMode="External"/><Relationship Id="rId8" Type="http://schemas.openxmlformats.org/officeDocument/2006/relationships/hyperlink" Target="http://www.blazecapitalpartn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dJuZr24k7wq5Ky3pk2GQxKsSig==">AMUW2mVO5+oErWprgovZ1AsVMKGLfekUXQjiF5NeBIZAcCshJqhOAJakwq+0jch7j75TCTDB7tObayh/NXmRDWkw7y2Q6wO/imn0ULSSNei1u57ICHMFI28=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2022-05-16T13:09:00Z</dcterms:created>
  <dc:creator>Eddy O'Brien</dc:creator>
</cp:coreProperties>
</file>