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rtl w:val="0"/>
        </w:rPr>
        <w:t xml:space="preserve">Media contact:</w:t>
      </w:r>
    </w:p>
    <w:p w:rsidR="00000000" w:rsidDel="00000000" w:rsidP="00000000" w:rsidRDefault="00000000" w:rsidRPr="00000000" w14:paraId="00000002">
      <w:pPr>
        <w:jc w:val="right"/>
        <w:rPr>
          <w:rFonts w:ascii="Calibri" w:cs="Calibri" w:eastAsia="Calibri" w:hAnsi="Calibri"/>
        </w:rPr>
      </w:pPr>
      <w:r w:rsidDel="00000000" w:rsidR="00000000" w:rsidRPr="00000000">
        <w:rPr>
          <w:rFonts w:ascii="Calibri" w:cs="Calibri" w:eastAsia="Calibri" w:hAnsi="Calibri"/>
          <w:rtl w:val="0"/>
        </w:rPr>
        <w:t xml:space="preserve">Megan Hackworth</w:t>
      </w:r>
    </w:p>
    <w:p w:rsidR="00000000" w:rsidDel="00000000" w:rsidP="00000000" w:rsidRDefault="00000000" w:rsidRPr="00000000" w14:paraId="00000003">
      <w:pPr>
        <w:jc w:val="right"/>
        <w:rPr>
          <w:rFonts w:ascii="Calibri" w:cs="Calibri" w:eastAsia="Calibri" w:hAnsi="Calibri"/>
        </w:rPr>
      </w:pPr>
      <w:r w:rsidDel="00000000" w:rsidR="00000000" w:rsidRPr="00000000">
        <w:rPr>
          <w:rFonts w:ascii="Calibri" w:cs="Calibri" w:eastAsia="Calibri" w:hAnsi="Calibri"/>
          <w:rtl w:val="0"/>
        </w:rPr>
        <w:t xml:space="preserve">The Wilbert Group</w:t>
      </w:r>
    </w:p>
    <w:p w:rsidR="00000000" w:rsidDel="00000000" w:rsidP="00000000" w:rsidRDefault="00000000" w:rsidRPr="00000000" w14:paraId="00000004">
      <w:pPr>
        <w:jc w:val="right"/>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mhackworth@thewilbertgroup.com</w:t>
        </w:r>
      </w:hyperlink>
      <w:r w:rsidDel="00000000" w:rsidR="00000000" w:rsidRPr="00000000">
        <w:rPr>
          <w:rtl w:val="0"/>
        </w:rPr>
      </w:r>
    </w:p>
    <w:p w:rsidR="00000000" w:rsidDel="00000000" w:rsidP="00000000" w:rsidRDefault="00000000" w:rsidRPr="00000000" w14:paraId="00000005">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Blaze Capital Partners Closes Sale of Two Metro Atlanta Apartment Communities</w:t>
      </w:r>
    </w:p>
    <w:p w:rsidR="00000000" w:rsidDel="00000000" w:rsidP="00000000" w:rsidRDefault="00000000" w:rsidRPr="00000000" w14:paraId="00000007">
      <w:pPr>
        <w:jc w:val="center"/>
        <w:rPr>
          <w:rFonts w:ascii="Calibri" w:cs="Calibri" w:eastAsia="Calibri" w:hAnsi="Calibri"/>
          <w:i w:val="1"/>
        </w:rPr>
      </w:pPr>
      <w:r w:rsidDel="00000000" w:rsidR="00000000" w:rsidRPr="00000000">
        <w:rPr>
          <w:rFonts w:ascii="Calibri" w:cs="Calibri" w:eastAsia="Calibri" w:hAnsi="Calibri"/>
          <w:i w:val="1"/>
          <w:rtl w:val="0"/>
        </w:rPr>
        <w:t xml:space="preserve">Charleston-based company acquired and successfully repositioned the properties under its multifamily acquisition strategy</w:t>
      </w:r>
    </w:p>
    <w:p w:rsidR="00000000" w:rsidDel="00000000" w:rsidP="00000000" w:rsidRDefault="00000000" w:rsidRPr="00000000" w14:paraId="00000008">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ATLANTA (May 17, 2022) – Blaze Capital Partners (“Blaze”) today announces the sales of Stadium Walk, a 309-unit apartment community in the Cumberland-Galleria submarket, and Overlook at Huntcrest, a 299-unit luxury apartment community in Gwinnett County within greater Atlanta, Georgia. The two-pack sale marks Blaze’s successful repositioning of the properties to improve the overall resident experience and deliver exceptional results for both partners and investors.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Since acquiring Stadium Walk and Overlook at Huntcrest in September 2018, Blaze has thoughtfully executed on its strategy of repositioning the garden-style apartment communities into highly amenitized, desirable places to live for residents. Both communities are situated in markets exploding with job growth, investment activity, a plethora of retail, restaurant and entertainment amenities, and premier connectivity around the Greater Atlanta Metro.</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“Atlanta has continued to be a strategic investment hub for us with a focus on acquiring institutional quality communities in fantastic growth locations,” said Chris Riley, co-founder and managing partner at Blaze. “With global and regional employer headquarters, unique mixed-use environments like The Battery and Suwanee Town Center, and easy access to neighboring urban and suburban areas, both apartment communities are located in transforming submarkets. We’re pleased with the investments we’ve put into these properties and look forward to exploring additional opportunities across the greater Atlanta area.”</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Located in Cobb County and just minutes from Truist Park with connectivity to I-75 and I-285, Stadium Walk uniquely intersects urban access with suburban convenience. The apartment community sits directly north of The Battery Atlanta, the southeast’s revolutionary mixed-use development home to the Atlanta Braves and a plethora of restaurants, retail and entertainment. The county has experienced tremendous growth in terms of residents and job opportunities, with recent investments by Home Depot, Papa John’s and ThyssenKrupp. The community features Class A interior unit finishes and community amenities, such as spa-inspired bathrooms, designer lighting and fixtures, spacious walk-in closets, state-of-the-art fitness center, yoga and spin studio, resort-style pool and sunning deck and a fire pit with grilling capabilities.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Overlook at Huntcrest sits in Gwinnett County, which currently boasts Georgia's second largest county population with expectations to become the largest by 2040. Well positioned along the I-85 corridor, the community offers unparalleled access to retail and restaurants, some of the top public schools in the state, entertainment venues and major employers like Mitsubishi Electric, AGCO Corporation and Asbury Automotive. Blaze made best-in-class investments to modernize the floor plans, which range from 675 to 1,380 square feet across one-, two- and three-bedroom units, as well as upgrade community amenities. These investments included energy-efficient stainless steel appliances, open kitchens, private balconies and patios, cybercafe with a gourmet coffee bar, strength and cardio gym, dog park, concierge service and monthly events programming.</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“Both of these communities have direct access to all that Atlanta has to offer while still providing the flexibility and comfort of suburban living,” said Eddy O’Brien, co-founder and managing partner of Blaze. “The investments we’ve made, coupled with the growing abundance of neighborhood amenities, has allowed us to drastically improve the overall resident experience at Stadium Walk and Overlook at Huntcrest. We are thrilled with the results and look forward to continuing to identify and execute on attractive investment opportunities on behalf of our investors and partners.”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Blaze has continued to grow its rental housing portfolio significantly throughout the Sunbelt. Most recently, the firm acquired 630 Fairview, a townhome rental community in Greenville, South Carolina, and Spoke Savannah, an extended-stay hotel as part of its hotel-to-multifamily conversion strategy. The firm remains exceptionally active across the rental housing landscape with an acquisition and development pipeline under control of over $400 million in projects across its various strategies. In addition, the company is currently raising a dedicated build-for-rent acquisition vehicle to augment its development activity. Blaze’s 2022 goals project more than $1.2 billion in total transaction volume, as the firm continues to deepen its acquisition and development presence across its conventional multifamily, build-for-rent single-family and multifamily conversion strategies.</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About Blaze Capital Partners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Blaze Capital Partners is a rental housing investment and development firm driven by a simple but unusual mission: Creating homes for how people live and how they want to live. With a human-first approach fueled by demographic and psychographic research, Blaze owns and operates exceptional communities in high-growth markets throughout the Sunbelt. Headquartered in Charleston, South Carolina, Blaze offers a full suite of investment services, ranging from research and acquisitions to development and asset management. Since 2016, Blaze has acquired over 5,000 rental units across the Southeast, comprising more than $2 billion in transaction value and currently has a pipeline of acquisition and development opportunities, totaling over $400 million. To learn more about Blaze, visit </w:t>
      </w:r>
      <w:hyperlink r:id="rId8">
        <w:r w:rsidDel="00000000" w:rsidR="00000000" w:rsidRPr="00000000">
          <w:rPr>
            <w:rFonts w:ascii="Calibri" w:cs="Calibri" w:eastAsia="Calibri" w:hAnsi="Calibri"/>
            <w:color w:val="0000ff"/>
            <w:u w:val="single"/>
            <w:rtl w:val="0"/>
          </w:rPr>
          <w:t xml:space="preserve">www.blazecapitalpartners.com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425488" cy="547688"/>
          <wp:effectExtent b="0" l="0" r="0" t="0"/>
          <wp:docPr id="2" name="image1.png"/>
          <a:graphic>
            <a:graphicData uri="http://schemas.openxmlformats.org/drawingml/2006/picture">
              <pic:pic>
                <pic:nvPicPr>
                  <pic:cNvPr id="0" name="image1.png"/>
                  <pic:cNvPicPr preferRelativeResize="0"/>
                </pic:nvPicPr>
                <pic:blipFill>
                  <a:blip r:embed="rId1"/>
                  <a:srcRect b="0" l="841" r="3197" t="0"/>
                  <a:stretch>
                    <a:fillRect/>
                  </a:stretch>
                </pic:blipFill>
                <pic:spPr>
                  <a:xfrm>
                    <a:off x="0" y="0"/>
                    <a:ext cx="142548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1535D9"/>
    <w:pPr>
      <w:spacing w:line="240" w:lineRule="auto"/>
    </w:pPr>
  </w:style>
  <w:style w:type="character" w:styleId="Hyperlink">
    <w:name w:val="Hyperlink"/>
    <w:basedOn w:val="DefaultParagraphFont"/>
    <w:uiPriority w:val="99"/>
    <w:unhideWhenUsed w:val="1"/>
    <w:rsid w:val="00DA3D37"/>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hackworth@thewilbertgroup.com" TargetMode="External"/><Relationship Id="rId8" Type="http://schemas.openxmlformats.org/officeDocument/2006/relationships/hyperlink" Target="http://www.blazecapital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JuZr24k7wq5Ky3pk2GQxKsSig==">AMUW2mVO5+oErWprgovZ1AsVMKGLfekUXQjiF5NeBIZAcCshJqhOAJakwq+0jch7j75TCTDB7tObayh/NXmRDWkw7y2Q6wO/imn0ULSSNei1u57ICHMFI28=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2022-05-16T13:09:00Z</dcterms:created>
  <dc:creator>Eddy O'Brien</dc:creator>
</cp:coreProperties>
</file>